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5" w:rsidRDefault="007D11F5" w:rsidP="002611D2">
      <w:pPr>
        <w:ind w:left="5670" w:hanging="283"/>
        <w:rPr>
          <w:rFonts w:ascii="Times New Roman" w:hAnsi="Times New Roman" w:cs="Times New Roman"/>
          <w:b/>
        </w:rPr>
      </w:pPr>
      <w:r w:rsidRPr="00875F85">
        <w:rPr>
          <w:rFonts w:ascii="Times New Roman" w:hAnsi="Times New Roman" w:cs="Times New Roman"/>
          <w:b/>
        </w:rPr>
        <w:t>ЗАТВЕРДЖУЮ</w:t>
      </w:r>
    </w:p>
    <w:p w:rsidR="007D11F5" w:rsidRDefault="00914197" w:rsidP="002611D2">
      <w:pPr>
        <w:ind w:left="5670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82111F5" wp14:editId="77BA906F">
            <wp:simplePos x="0" y="0"/>
            <wp:positionH relativeFrom="column">
              <wp:posOffset>3015615</wp:posOffset>
            </wp:positionH>
            <wp:positionV relativeFrom="paragraph">
              <wp:posOffset>38735</wp:posOffset>
            </wp:positionV>
            <wp:extent cx="1514475" cy="613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yvo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D2">
        <w:rPr>
          <w:rFonts w:ascii="Times New Roman" w:hAnsi="Times New Roman" w:cs="Times New Roman"/>
          <w:b/>
        </w:rPr>
        <w:t>Президент БФ «Творчий центр ТЦК»</w:t>
      </w:r>
      <w:r w:rsidR="007D11F5">
        <w:rPr>
          <w:rFonts w:ascii="Times New Roman" w:hAnsi="Times New Roman" w:cs="Times New Roman"/>
          <w:b/>
        </w:rPr>
        <w:t xml:space="preserve"> </w:t>
      </w:r>
    </w:p>
    <w:p w:rsidR="007D11F5" w:rsidRDefault="007D11F5" w:rsidP="002611D2">
      <w:pPr>
        <w:ind w:left="5670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="002611D2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. </w:t>
      </w:r>
      <w:r w:rsidR="002611D2">
        <w:rPr>
          <w:rFonts w:ascii="Times New Roman" w:hAnsi="Times New Roman" w:cs="Times New Roman"/>
          <w:b/>
        </w:rPr>
        <w:t>Паливода</w:t>
      </w:r>
    </w:p>
    <w:p w:rsidR="007D11F5" w:rsidRPr="00875F85" w:rsidRDefault="007D11F5" w:rsidP="002611D2">
      <w:pPr>
        <w:ind w:left="5670" w:hanging="283"/>
        <w:rPr>
          <w:rFonts w:ascii="Lucida Calligraphy" w:hAnsi="Lucida Calligraphy"/>
          <w:b/>
        </w:rPr>
      </w:pPr>
      <w:r>
        <w:rPr>
          <w:rFonts w:ascii="Times New Roman" w:hAnsi="Times New Roman" w:cs="Times New Roman"/>
          <w:b/>
        </w:rPr>
        <w:t>«</w:t>
      </w:r>
      <w:r w:rsidR="002611D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»</w:t>
      </w:r>
      <w:r w:rsidR="002611D2">
        <w:rPr>
          <w:rFonts w:ascii="Times New Roman" w:hAnsi="Times New Roman" w:cs="Times New Roman"/>
          <w:b/>
        </w:rPr>
        <w:t xml:space="preserve"> лютого </w:t>
      </w:r>
      <w:r>
        <w:rPr>
          <w:rFonts w:ascii="Times New Roman" w:hAnsi="Times New Roman" w:cs="Times New Roman"/>
          <w:b/>
        </w:rPr>
        <w:t>201</w:t>
      </w:r>
      <w:r w:rsidR="002611D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року</w:t>
      </w:r>
    </w:p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ОГОЛОШЕННЯ ПРО ЗДІЙСНЕННЯ ЗАКУПІВЛІ</w:t>
      </w:r>
    </w:p>
    <w:p w:rsidR="0067288A" w:rsidRPr="0054661A" w:rsidRDefault="0067288A" w:rsidP="0067288A">
      <w:pPr>
        <w:pStyle w:val="a3"/>
        <w:jc w:val="center"/>
        <w:rPr>
          <w:b/>
          <w:lang w:val="ru-RU"/>
        </w:rPr>
      </w:pPr>
      <w:r w:rsidRPr="0067288A">
        <w:rPr>
          <w:b/>
        </w:rPr>
        <w:t>Номер оголошення: 201</w:t>
      </w:r>
      <w:r w:rsidR="00853B5D">
        <w:rPr>
          <w:b/>
        </w:rPr>
        <w:t>8</w:t>
      </w:r>
      <w:r w:rsidRPr="0067288A">
        <w:rPr>
          <w:b/>
        </w:rPr>
        <w:t>-0</w:t>
      </w:r>
      <w:r w:rsidR="00853B5D">
        <w:rPr>
          <w:b/>
          <w:lang w:val="ru-RU"/>
        </w:rPr>
        <w:t>1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1. Найменування замовника</w:t>
      </w:r>
      <w:r w:rsidRPr="00853B5D">
        <w:rPr>
          <w:rFonts w:eastAsiaTheme="minorHAnsi"/>
          <w:sz w:val="22"/>
          <w:szCs w:val="22"/>
          <w:lang w:eastAsia="en-US"/>
        </w:rPr>
        <w:t>: Благодійний фонд «Творчий центр ТЦК»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2. Код згідно з ЄДРПОУ замовника</w:t>
      </w:r>
      <w:r w:rsidRPr="00853B5D">
        <w:rPr>
          <w:rFonts w:eastAsiaTheme="minorHAnsi"/>
          <w:sz w:val="22"/>
          <w:szCs w:val="22"/>
          <w:lang w:eastAsia="en-US"/>
        </w:rPr>
        <w:t>: 35093256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3. Місцезнаходження замовника</w:t>
      </w:r>
      <w:r w:rsidRPr="00853B5D">
        <w:rPr>
          <w:rFonts w:eastAsiaTheme="minorHAnsi"/>
          <w:sz w:val="22"/>
          <w:szCs w:val="22"/>
          <w:lang w:eastAsia="en-US"/>
        </w:rPr>
        <w:t>: проспект Бажана, 30, к. 8, місто Київ 02140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4. Контактна особа замовника, уповноважена здійснювати зв'язок з учасниками</w:t>
      </w:r>
      <w:r w:rsidRPr="00853B5D">
        <w:rPr>
          <w:rFonts w:eastAsiaTheme="minorHAnsi"/>
          <w:sz w:val="22"/>
          <w:szCs w:val="22"/>
          <w:lang w:eastAsia="en-US"/>
        </w:rPr>
        <w:t xml:space="preserve">: Любов Паливода, +380445746411, </w:t>
      </w:r>
      <w:hyperlink r:id="rId7" w:history="1">
        <w:r w:rsidRPr="00853B5D">
          <w:rPr>
            <w:rFonts w:eastAsiaTheme="minorHAnsi"/>
            <w:sz w:val="22"/>
            <w:szCs w:val="22"/>
            <w:lang w:eastAsia="en-US"/>
          </w:rPr>
          <w:t>tender@ccc.kiev.ua</w:t>
        </w:r>
      </w:hyperlink>
      <w:r w:rsidRPr="00853B5D">
        <w:rPr>
          <w:rFonts w:eastAsiaTheme="minorHAnsi"/>
          <w:sz w:val="22"/>
          <w:szCs w:val="22"/>
          <w:lang w:eastAsia="en-US"/>
        </w:rPr>
        <w:t xml:space="preserve"> 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5. Конкретна назва предмета закупівлі:</w:t>
      </w:r>
      <w:r w:rsidRPr="00853B5D">
        <w:rPr>
          <w:rFonts w:eastAsiaTheme="minorHAnsi"/>
          <w:sz w:val="22"/>
          <w:szCs w:val="22"/>
          <w:lang w:eastAsia="en-US"/>
        </w:rPr>
        <w:t> послуги з дизайну та розробки оригінал-макету електронного видання «Річний звіт БФ «Творчий центр ТЦК» за 2012 – 2017 роки» українською та англійською мовами на основі наданих замовником вихідних матеріалів та відповідно до визначеної специфікації, яка додається  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6. Кількість послуг</w:t>
      </w:r>
      <w:r w:rsidRPr="00853B5D">
        <w:rPr>
          <w:rFonts w:eastAsiaTheme="minorHAnsi"/>
          <w:sz w:val="22"/>
          <w:szCs w:val="22"/>
          <w:lang w:eastAsia="en-US"/>
        </w:rPr>
        <w:t>: 1 (одна) одиниця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7. Місце надання послуг</w:t>
      </w:r>
      <w:r w:rsidRPr="00853B5D">
        <w:rPr>
          <w:rFonts w:eastAsiaTheme="minorHAnsi"/>
          <w:sz w:val="22"/>
          <w:szCs w:val="22"/>
          <w:lang w:eastAsia="en-US"/>
        </w:rPr>
        <w:t>: м. Київ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8. Строк надання послуг</w:t>
      </w:r>
      <w:r w:rsidRPr="00853B5D">
        <w:rPr>
          <w:rFonts w:eastAsiaTheme="minorHAnsi"/>
          <w:sz w:val="22"/>
          <w:szCs w:val="22"/>
          <w:lang w:eastAsia="en-US"/>
        </w:rPr>
        <w:t>: не пізніше 30 березня 2018 року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9. Очікувана вартість предмета закупівлі</w:t>
      </w:r>
      <w:r w:rsidRPr="00853B5D">
        <w:rPr>
          <w:rFonts w:eastAsiaTheme="minorHAnsi"/>
          <w:sz w:val="22"/>
          <w:szCs w:val="22"/>
          <w:lang w:eastAsia="en-US"/>
        </w:rPr>
        <w:t>: очікуються пропозиції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10. Методика оцінки пропозицій</w:t>
      </w:r>
      <w:r w:rsidRPr="00853B5D">
        <w:rPr>
          <w:rFonts w:eastAsiaTheme="minorHAnsi"/>
          <w:sz w:val="22"/>
          <w:szCs w:val="22"/>
          <w:lang w:eastAsia="en-US"/>
        </w:rPr>
        <w:t>: оцінка пропозицій конкурсних торгів здійснюється за всією кількістю послуг на основі таких критеріїв: найменша ціна за умови доставки за вказаним місцем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11. Кінцевий строк подання тендерних пропозицій</w:t>
      </w:r>
      <w:r w:rsidRPr="00853B5D">
        <w:rPr>
          <w:rFonts w:eastAsiaTheme="minorHAnsi"/>
          <w:sz w:val="22"/>
          <w:szCs w:val="22"/>
          <w:lang w:eastAsia="en-US"/>
        </w:rPr>
        <w:t xml:space="preserve">: до 10:00 год. </w:t>
      </w:r>
      <w:r w:rsidR="00731444">
        <w:rPr>
          <w:rFonts w:eastAsiaTheme="minorHAnsi"/>
          <w:sz w:val="22"/>
          <w:szCs w:val="22"/>
          <w:lang w:eastAsia="en-US"/>
        </w:rPr>
        <w:t>6</w:t>
      </w:r>
      <w:r w:rsidRPr="00853B5D">
        <w:rPr>
          <w:rFonts w:eastAsiaTheme="minorHAnsi"/>
          <w:sz w:val="22"/>
          <w:szCs w:val="22"/>
          <w:lang w:eastAsia="en-US"/>
        </w:rPr>
        <w:t xml:space="preserve"> березня 2018 року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12. Дата та час розкриття тендерних пропозицій</w:t>
      </w:r>
      <w:r w:rsidRPr="00853B5D">
        <w:rPr>
          <w:rFonts w:eastAsiaTheme="minorHAnsi"/>
          <w:sz w:val="22"/>
          <w:szCs w:val="22"/>
          <w:lang w:eastAsia="en-US"/>
        </w:rPr>
        <w:t xml:space="preserve">: об 11:00 год. </w:t>
      </w:r>
      <w:r w:rsidR="00731444">
        <w:rPr>
          <w:rFonts w:eastAsiaTheme="minorHAnsi"/>
          <w:sz w:val="22"/>
          <w:szCs w:val="22"/>
          <w:lang w:eastAsia="en-US"/>
        </w:rPr>
        <w:t>6</w:t>
      </w:r>
      <w:r w:rsidRPr="00853B5D">
        <w:rPr>
          <w:rFonts w:eastAsiaTheme="minorHAnsi"/>
          <w:sz w:val="22"/>
          <w:szCs w:val="22"/>
          <w:lang w:eastAsia="en-US"/>
        </w:rPr>
        <w:t xml:space="preserve"> березня 2018 року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b/>
          <w:bCs/>
          <w:sz w:val="22"/>
          <w:szCs w:val="22"/>
          <w:lang w:eastAsia="en-US"/>
        </w:rPr>
        <w:t>13. Вимоги до тендерної пропозиції</w:t>
      </w:r>
      <w:r w:rsidRPr="00853B5D">
        <w:rPr>
          <w:rFonts w:eastAsiaTheme="minorHAnsi"/>
          <w:sz w:val="22"/>
          <w:szCs w:val="22"/>
          <w:lang w:eastAsia="en-US"/>
        </w:rPr>
        <w:t>: тендерна пропозиція має відповідати встановленій формі (</w:t>
      </w:r>
      <w:r w:rsidRPr="00914197">
        <w:rPr>
          <w:rFonts w:eastAsiaTheme="minorHAnsi"/>
          <w:b/>
          <w:sz w:val="22"/>
          <w:szCs w:val="22"/>
          <w:lang w:eastAsia="en-US"/>
        </w:rPr>
        <w:t>додається</w:t>
      </w:r>
      <w:r w:rsidRPr="00853B5D">
        <w:rPr>
          <w:rFonts w:eastAsiaTheme="minorHAnsi"/>
          <w:sz w:val="22"/>
          <w:szCs w:val="22"/>
          <w:lang w:eastAsia="en-US"/>
        </w:rPr>
        <w:t>) та надаватися у форматі pdf</w:t>
      </w:r>
    </w:p>
    <w:p w:rsidR="00853B5D" w:rsidRPr="00853B5D" w:rsidRDefault="00853B5D" w:rsidP="00853B5D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sz w:val="22"/>
          <w:szCs w:val="22"/>
          <w:lang w:eastAsia="en-US"/>
        </w:rPr>
        <w:t>Тендерна пропозиція має бути надіслана електронною поштою (в архівованому файлі з кодом доступу. Код доступу для розархівації надається за запитом організаторів конкурсних торгів)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sz w:val="22"/>
          <w:szCs w:val="22"/>
          <w:lang w:eastAsia="en-US"/>
        </w:rPr>
        <w:t>Електронною поштою – адреса: </w:t>
      </w:r>
      <w:hyperlink r:id="rId8" w:history="1">
        <w:r w:rsidRPr="00853B5D">
          <w:rPr>
            <w:rFonts w:eastAsiaTheme="minorHAnsi"/>
            <w:sz w:val="22"/>
            <w:szCs w:val="22"/>
            <w:lang w:eastAsia="en-US"/>
          </w:rPr>
          <w:t>tender@ccc.kiev.ua</w:t>
        </w:r>
      </w:hyperlink>
      <w:r w:rsidRPr="00853B5D">
        <w:rPr>
          <w:rFonts w:eastAsiaTheme="minorHAnsi"/>
          <w:sz w:val="22"/>
          <w:szCs w:val="22"/>
          <w:lang w:eastAsia="en-US"/>
        </w:rPr>
        <w:t xml:space="preserve"> ; тема листа: «Тендер 2018-01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sz w:val="22"/>
          <w:szCs w:val="22"/>
          <w:lang w:eastAsia="en-US"/>
        </w:rPr>
        <w:t>Тендерні пропозиції, отримані замовником після закінчення строку їх подання, не розкриваються і повертаються учасникам, що їх подали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53B5D">
        <w:rPr>
          <w:rFonts w:eastAsiaTheme="minorHAnsi"/>
          <w:b/>
          <w:sz w:val="22"/>
          <w:szCs w:val="22"/>
          <w:lang w:eastAsia="en-US"/>
        </w:rPr>
        <w:t>14. Кількість учасників, з якими буде укладено договір на надання послуг: 1 (один)</w:t>
      </w:r>
    </w:p>
    <w:p w:rsidR="00853B5D" w:rsidRPr="00853B5D" w:rsidRDefault="00853B5D" w:rsidP="00853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53B5D">
        <w:rPr>
          <w:rFonts w:eastAsiaTheme="minorHAnsi"/>
          <w:sz w:val="22"/>
          <w:szCs w:val="22"/>
          <w:lang w:eastAsia="en-US"/>
        </w:rPr>
        <w:t>Форма тендерної пропозиції та специфікація додаються</w:t>
      </w:r>
    </w:p>
    <w:p w:rsidR="00065CE0" w:rsidRDefault="00065C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Додаток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оголошення про здійснення закупівлі</w:t>
      </w:r>
    </w:p>
    <w:p w:rsidR="00071F07" w:rsidRPr="00071F07" w:rsidRDefault="00071F07" w:rsidP="00071F07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F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Учасник не повинен відступати від даної форми</w:t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232"/>
        <w:gridCol w:w="2295"/>
        <w:gridCol w:w="2765"/>
      </w:tblGrid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Відомості про учасника </w:t>
            </w: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91419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Повне найменування </w:t>
            </w:r>
            <w:r w:rsidR="00071F07" w:rsidRPr="00693F6F">
              <w:rPr>
                <w:rFonts w:ascii="Times New Roman" w:hAnsi="Times New Roman" w:cs="Times New Roman"/>
              </w:rPr>
              <w:t>учасника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Керівництво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Ідентифікаційний код за ЄДРПОУ (за наявності)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65CE0">
        <w:trPr>
          <w:trHeight w:val="813"/>
        </w:trPr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Особа, відповідальна за участь у торгах</w:t>
            </w:r>
            <w:r w:rsidR="008641E5">
              <w:rPr>
                <w:rFonts w:ascii="Times New Roman" w:hAnsi="Times New Roman" w:cs="Times New Roman"/>
              </w:rPr>
              <w:t xml:space="preserve"> і яка зможе офіційно вести подальші переговори</w:t>
            </w:r>
            <w:r w:rsidRPr="00693F6F">
              <w:rPr>
                <w:rFonts w:ascii="Times New Roman" w:hAnsi="Times New Roman" w:cs="Times New Roman"/>
              </w:rPr>
              <w:t xml:space="preserve">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Інша інформація 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Пропозиція </w:t>
            </w:r>
          </w:p>
        </w:tc>
      </w:tr>
      <w:tr w:rsidR="00071F07" w:rsidRPr="00853B5D" w:rsidTr="00071F07">
        <w:tc>
          <w:tcPr>
            <w:tcW w:w="5000" w:type="pct"/>
            <w:gridSpan w:val="4"/>
          </w:tcPr>
          <w:p w:rsidR="00071F07" w:rsidRPr="00853B5D" w:rsidRDefault="00071F07" w:rsidP="0085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853B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 учасника закупівлі</w:t>
            </w: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в особі </w:t>
            </w:r>
            <w:r w:rsidRPr="00853B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, надаємо свою тендерну пропозицію для </w:t>
            </w:r>
            <w:r w:rsidR="00853B5D" w:rsidRPr="00853B5D">
              <w:rPr>
                <w:rFonts w:ascii="Times New Roman" w:hAnsi="Times New Roman" w:cs="Times New Roman"/>
                <w:sz w:val="24"/>
                <w:szCs w:val="24"/>
              </w:rPr>
              <w:t>надання п</w:t>
            </w:r>
            <w:r w:rsidR="00853B5D" w:rsidRPr="00853B5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ослуги з дизайну та розробки оригінал-макету електронного видання «Річний звіт БФ «Творчий центр ТЦК» за 2012 – 2017 роки» українською та англійською мовами на основі наданих замовником вихідних матеріалів та відповідно до визначен</w:t>
            </w:r>
            <w:r w:rsidR="00065CE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ої специфікації, яка додається (додаток 3)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1303"/>
              <w:gridCol w:w="1346"/>
              <w:gridCol w:w="1346"/>
              <w:gridCol w:w="1340"/>
            </w:tblGrid>
            <w:tr w:rsidR="00693F6F" w:rsidRPr="00853B5D" w:rsidTr="00853B5D">
              <w:tc>
                <w:tcPr>
                  <w:tcW w:w="2146" w:type="pct"/>
                  <w:shd w:val="clear" w:color="auto" w:fill="auto"/>
                  <w:vAlign w:val="center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Назва одиниці </w:t>
                  </w:r>
                  <w:r w:rsidR="00853B5D"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послуги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720" w:type="pct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Ціна одиниці, грн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Сума без ПДВ, грн</w:t>
                  </w:r>
                </w:p>
              </w:tc>
              <w:tc>
                <w:tcPr>
                  <w:tcW w:w="717" w:type="pct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Сума з ПДВ, грн</w:t>
                  </w:r>
                </w:p>
              </w:tc>
            </w:tr>
            <w:tr w:rsidR="00853B5D" w:rsidRPr="00853B5D" w:rsidTr="00853B5D">
              <w:trPr>
                <w:trHeight w:val="2486"/>
              </w:trPr>
              <w:tc>
                <w:tcPr>
                  <w:tcW w:w="2146" w:type="pct"/>
                  <w:shd w:val="clear" w:color="auto" w:fill="auto"/>
                </w:tcPr>
                <w:p w:rsidR="00853B5D" w:rsidRPr="00853B5D" w:rsidRDefault="00853B5D" w:rsidP="00065CE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853B5D">
                    <w:rPr>
                      <w:rFonts w:eastAsiaTheme="minorHAnsi"/>
                      <w:lang w:eastAsia="en-US"/>
                    </w:rPr>
                    <w:t xml:space="preserve">дизайн та розробка оригінал-макету електронного видання «Річний звіт БФ «Творчий центр ТЦК» за 2012 – 2017 роки» українською та англійською мовами на основі наданих замовником вихідних матеріалів та відповідно до визначеної специфікації, яка додається </w:t>
                  </w:r>
                  <w:r w:rsidR="00065CE0">
                    <w:rPr>
                      <w:rFonts w:eastAsiaTheme="minorHAnsi"/>
                      <w:lang w:eastAsia="en-US"/>
                    </w:rPr>
                    <w:t>(додаток 3)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53B5D" w:rsidRPr="00065CE0" w:rsidRDefault="00853B5D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pct"/>
                </w:tcPr>
                <w:p w:rsidR="00853B5D" w:rsidRPr="00853B5D" w:rsidRDefault="00853B5D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853B5D" w:rsidRPr="00853B5D" w:rsidRDefault="00853B5D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</w:tcPr>
                <w:p w:rsidR="00853B5D" w:rsidRPr="00853B5D" w:rsidRDefault="00853B5D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F6F" w:rsidRPr="00853B5D" w:rsidTr="00853B5D">
              <w:tc>
                <w:tcPr>
                  <w:tcW w:w="2146" w:type="pct"/>
                  <w:tcBorders>
                    <w:right w:val="nil"/>
                  </w:tcBorders>
                  <w:shd w:val="clear" w:color="auto" w:fill="auto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3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РАЗОМ</w:t>
                  </w:r>
                </w:p>
              </w:tc>
              <w:tc>
                <w:tcPr>
                  <w:tcW w:w="697" w:type="pct"/>
                  <w:tcBorders>
                    <w:left w:val="nil"/>
                  </w:tcBorders>
                  <w:shd w:val="clear" w:color="auto" w:fill="auto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</w:tcPr>
                <w:p w:rsidR="00693F6F" w:rsidRPr="00853B5D" w:rsidRDefault="00693F6F" w:rsidP="00853B5D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1F07" w:rsidRPr="00853B5D" w:rsidRDefault="00071F07" w:rsidP="00853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:</w:t>
            </w:r>
          </w:p>
          <w:p w:rsidR="00071F07" w:rsidRPr="00853B5D" w:rsidRDefault="00071F07" w:rsidP="00853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65C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06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F07" w:rsidRPr="00853B5D" w:rsidRDefault="00071F07" w:rsidP="00853B5D">
            <w:pPr>
              <w:tabs>
                <w:tab w:val="center" w:pos="4153"/>
                <w:tab w:val="right" w:pos="8306"/>
              </w:tabs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(прописом)</w:t>
            </w:r>
          </w:p>
          <w:p w:rsidR="00071F07" w:rsidRPr="00853B5D" w:rsidRDefault="00071F07" w:rsidP="00853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1. До акцепту нашої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 Ваша документація </w:t>
            </w:r>
            <w:r w:rsidR="008641E5" w:rsidRPr="00853B5D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 торгів разом з нашою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тендерною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пропозицією (за умови її відповідності всім вимогам) мають силу попереднього договору між нами. Якщо наша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тендерна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пропозиція буде акцептована, ми візьмемо на себе зобов'язання виконати всі умови, передбачені Договором.</w:t>
            </w:r>
          </w:p>
          <w:p w:rsidR="00071F07" w:rsidRPr="00853B5D" w:rsidRDefault="00071F07" w:rsidP="0085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2. Ми погоджуємося дотримуватися умов цієї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протягом </w:t>
            </w: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 днів з дня розкриття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тендерних пропозицій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, встановленого Вами. Наша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тендерна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буде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обов'язковою для нас і може бути акцептована Вами у будь-який час до закінчення зазначеного терміну.</w:t>
            </w:r>
          </w:p>
          <w:p w:rsidR="00071F07" w:rsidRPr="00853B5D" w:rsidRDefault="00071F07" w:rsidP="0085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3. Ми погоджуємося з умовами, що Ви можете відхилити нашу чи всі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тендерні пропозиції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та розуміємо, що Ви не обмежені у прийнятті будь-якої іншої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пропозиції з більш вигідними для Вас умовами.</w:t>
            </w:r>
          </w:p>
          <w:p w:rsidR="00071F07" w:rsidRPr="00853B5D" w:rsidRDefault="00071F07" w:rsidP="00853B5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4. Якщо наша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тендерна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буде акцептована, ми зобов'язуємося підписати Договір не раніше ніж через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 робочі дні з дати отримання рішення про акцепт </w:t>
            </w:r>
            <w:r w:rsidR="00693F6F" w:rsidRPr="00853B5D"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F07" w:rsidRPr="00853B5D" w:rsidRDefault="00071F07" w:rsidP="00853B5D">
            <w:pPr>
              <w:tabs>
                <w:tab w:val="left" w:pos="6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5.Строк поставки – __________________________;</w:t>
            </w:r>
          </w:p>
          <w:p w:rsidR="00071F07" w:rsidRPr="00853B5D" w:rsidRDefault="00071F07" w:rsidP="00853B5D">
            <w:pPr>
              <w:tabs>
                <w:tab w:val="left" w:pos="6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6.Умови розрахунку – безготівковий розрахунок, передплата – __________% від вартості рахунка.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693F6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="00693F6F"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071F07" w:rsidRPr="00071F07" w:rsidRDefault="00071F07" w:rsidP="00065CE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Додаток 2</w:t>
      </w:r>
    </w:p>
    <w:p w:rsidR="00071F07" w:rsidRPr="00071F07" w:rsidRDefault="00071F07" w:rsidP="0007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07">
        <w:rPr>
          <w:rFonts w:ascii="Times New Roman" w:hAnsi="Times New Roman" w:cs="Times New Roman"/>
          <w:b/>
          <w:sz w:val="24"/>
          <w:szCs w:val="24"/>
        </w:rPr>
        <w:t>Резюме виконавця</w:t>
      </w:r>
    </w:p>
    <w:p w:rsidR="00071F07" w:rsidRPr="00071F07" w:rsidRDefault="00071F07" w:rsidP="00071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2843"/>
      </w:tblGrid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Повна офіційна назва юридичної особи чи ФОП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реєстрації/юридична адреса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фактичного місця знаходження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Номер телефону, адреса електронної пошти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Адреса веб-сайту (за наявності)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2875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065CE0">
        <w:trPr>
          <w:jc w:val="center"/>
        </w:trPr>
        <w:tc>
          <w:tcPr>
            <w:tcW w:w="6470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2875" w:type="dxa"/>
          </w:tcPr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AF02C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853B5D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організації-</w:t>
            </w: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 або інша уповноважена посадова особа</w:t>
            </w: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</w:tbl>
    <w:p w:rsidR="00071F07" w:rsidRPr="00071F07" w:rsidRDefault="00065CE0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B40354" w:rsidRDefault="00B403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40354" w:rsidRPr="00071F07" w:rsidRDefault="00B40354" w:rsidP="00B40354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B40354" w:rsidRDefault="00B40354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Специфікація предмету закупівлі</w:t>
      </w:r>
    </w:p>
    <w:p w:rsidR="00201E8D" w:rsidRDefault="00201E8D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37"/>
        <w:gridCol w:w="6099"/>
      </w:tblGrid>
      <w:tr w:rsidR="002611D2" w:rsidRPr="00853B5D" w:rsidTr="00490CE2">
        <w:tc>
          <w:tcPr>
            <w:tcW w:w="384" w:type="pct"/>
          </w:tcPr>
          <w:p w:rsidR="002611D2" w:rsidRPr="00853B5D" w:rsidRDefault="002611D2" w:rsidP="0085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0" w:type="pct"/>
          </w:tcPr>
          <w:p w:rsidR="002611D2" w:rsidRPr="00853B5D" w:rsidRDefault="002611D2" w:rsidP="0085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2611D2" w:rsidRPr="00853B5D" w:rsidRDefault="00853B5D" w:rsidP="0085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611D2"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>обіт</w:t>
            </w: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надання послуги</w:t>
            </w:r>
          </w:p>
        </w:tc>
        <w:tc>
          <w:tcPr>
            <w:tcW w:w="3186" w:type="pct"/>
          </w:tcPr>
          <w:p w:rsidR="002611D2" w:rsidRPr="00853B5D" w:rsidRDefault="002611D2" w:rsidP="0085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2611D2" w:rsidRPr="00D435B7" w:rsidTr="00490CE2">
        <w:tc>
          <w:tcPr>
            <w:tcW w:w="384" w:type="pct"/>
          </w:tcPr>
          <w:p w:rsidR="002611D2" w:rsidRPr="00853B5D" w:rsidRDefault="002611D2" w:rsidP="004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</w:tcPr>
          <w:p w:rsidR="002611D2" w:rsidRPr="00853B5D" w:rsidRDefault="002611D2" w:rsidP="004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дизайну та макетування обкладинки україномовного звіту </w:t>
            </w:r>
          </w:p>
        </w:tc>
        <w:tc>
          <w:tcPr>
            <w:tcW w:w="3186" w:type="pct"/>
          </w:tcPr>
          <w:p w:rsidR="002611D2" w:rsidRPr="00853B5D" w:rsidRDefault="00065CE0" w:rsidP="0049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295*201</w:t>
            </w:r>
            <w:r w:rsidR="002611D2"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мм (А4). Альбомна орієнтація сторінки. Повноколірна. Відповідність бренд-буку організації. Вимоги до колірного рішення дизайну – м’які, пастельні тони, використання українських орнаментів. </w:t>
            </w:r>
          </w:p>
        </w:tc>
      </w:tr>
      <w:tr w:rsidR="002611D2" w:rsidRPr="0089280B" w:rsidTr="00490CE2">
        <w:tc>
          <w:tcPr>
            <w:tcW w:w="384" w:type="pct"/>
          </w:tcPr>
          <w:p w:rsidR="002611D2" w:rsidRPr="00853B5D" w:rsidRDefault="002611D2" w:rsidP="004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</w:tcPr>
          <w:p w:rsidR="002611D2" w:rsidRPr="00853B5D" w:rsidRDefault="002611D2" w:rsidP="004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Розробка дизайну та макетування обкладинки англомовного звіту</w:t>
            </w:r>
          </w:p>
        </w:tc>
        <w:tc>
          <w:tcPr>
            <w:tcW w:w="3186" w:type="pct"/>
          </w:tcPr>
          <w:p w:rsidR="002611D2" w:rsidRPr="00853B5D" w:rsidRDefault="00065CE0" w:rsidP="0049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295*201</w:t>
            </w:r>
            <w:r w:rsidR="002611D2" w:rsidRPr="00853B5D">
              <w:rPr>
                <w:rFonts w:ascii="Times New Roman" w:hAnsi="Times New Roman" w:cs="Times New Roman"/>
                <w:sz w:val="24"/>
                <w:szCs w:val="24"/>
              </w:rPr>
              <w:t>мм (А4). Повноколірна. Альбомна орієнтація сторінки. Вимоги до колірного рішення дизайну – м’які, пастельні тони, використання українських орнаментів.</w:t>
            </w:r>
          </w:p>
        </w:tc>
      </w:tr>
      <w:tr w:rsidR="002611D2" w:rsidRPr="001828A3" w:rsidTr="00490CE2">
        <w:tc>
          <w:tcPr>
            <w:tcW w:w="384" w:type="pct"/>
          </w:tcPr>
          <w:p w:rsidR="002611D2" w:rsidRPr="00853B5D" w:rsidRDefault="002611D2" w:rsidP="004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</w:tcPr>
          <w:p w:rsidR="002611D2" w:rsidRPr="00853B5D" w:rsidRDefault="002611D2" w:rsidP="004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Розробка дизайну верстка та макетування звіту українською мовою</w:t>
            </w:r>
          </w:p>
        </w:tc>
        <w:tc>
          <w:tcPr>
            <w:tcW w:w="3186" w:type="pct"/>
          </w:tcPr>
          <w:p w:rsidR="002611D2" w:rsidRPr="00853B5D" w:rsidRDefault="002611D2" w:rsidP="0049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Кількість сторінок 38</w:t>
            </w:r>
            <w:r w:rsidR="00065CE0">
              <w:rPr>
                <w:rFonts w:ascii="Times New Roman" w:hAnsi="Times New Roman" w:cs="Times New Roman"/>
                <w:sz w:val="24"/>
                <w:szCs w:val="24"/>
              </w:rPr>
              <w:t>. Формат 295*201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мм (А4). Альбомна орієнтація сторінки. Текст чорно-білий, графічні зображення повноколірні. Кількість фото – 140. Вимоги до колірного рішення дизайну – м’які, пастельні тони, використання українських орнаментів.</w:t>
            </w:r>
          </w:p>
        </w:tc>
      </w:tr>
      <w:tr w:rsidR="002611D2" w:rsidRPr="0089280B" w:rsidTr="00490CE2">
        <w:tc>
          <w:tcPr>
            <w:tcW w:w="384" w:type="pct"/>
          </w:tcPr>
          <w:p w:rsidR="002611D2" w:rsidRPr="00853B5D" w:rsidRDefault="002611D2" w:rsidP="004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</w:tcPr>
          <w:p w:rsidR="002611D2" w:rsidRPr="00853B5D" w:rsidRDefault="002611D2" w:rsidP="004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Розробка дизайну верстка та макетування звіту англійською мовою</w:t>
            </w:r>
          </w:p>
        </w:tc>
        <w:tc>
          <w:tcPr>
            <w:tcW w:w="3186" w:type="pct"/>
          </w:tcPr>
          <w:p w:rsidR="002611D2" w:rsidRPr="00853B5D" w:rsidRDefault="002611D2" w:rsidP="0049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Кількість сторінок 38</w:t>
            </w:r>
            <w:r w:rsidR="00065CE0">
              <w:rPr>
                <w:rFonts w:ascii="Times New Roman" w:hAnsi="Times New Roman" w:cs="Times New Roman"/>
                <w:sz w:val="24"/>
                <w:szCs w:val="24"/>
              </w:rPr>
              <w:t>. Формат 295*201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мм (А4). Альбомна орієнтація сторінки. Текст чорно-білий, графічні зображення повноколірні. Кількість фото – 140. Вимоги до колірного рішення дизайну – м’які, пастельні тони, використання українських орнаментів.</w:t>
            </w:r>
          </w:p>
        </w:tc>
      </w:tr>
    </w:tbl>
    <w:p w:rsidR="002611D2" w:rsidRDefault="002611D2" w:rsidP="002611D2">
      <w:pPr>
        <w:tabs>
          <w:tab w:val="left" w:pos="927"/>
        </w:tabs>
        <w:spacing w:line="100" w:lineRule="atLeast"/>
        <w:jc w:val="right"/>
        <w:rPr>
          <w:b/>
          <w:bCs/>
          <w:i/>
        </w:rPr>
      </w:pPr>
    </w:p>
    <w:sectPr w:rsidR="0026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EF"/>
    <w:multiLevelType w:val="hybridMultilevel"/>
    <w:tmpl w:val="1DD6DE56"/>
    <w:lvl w:ilvl="0" w:tplc="9926E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B83B8B"/>
    <w:multiLevelType w:val="hybridMultilevel"/>
    <w:tmpl w:val="269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781"/>
    <w:multiLevelType w:val="hybridMultilevel"/>
    <w:tmpl w:val="C8F02930"/>
    <w:lvl w:ilvl="0" w:tplc="9926E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22B0"/>
    <w:multiLevelType w:val="hybridMultilevel"/>
    <w:tmpl w:val="EC2005DA"/>
    <w:lvl w:ilvl="0" w:tplc="0E8A16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6D4"/>
    <w:multiLevelType w:val="hybridMultilevel"/>
    <w:tmpl w:val="A0706880"/>
    <w:lvl w:ilvl="0" w:tplc="9926E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DB4198"/>
    <w:multiLevelType w:val="hybridMultilevel"/>
    <w:tmpl w:val="C87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6"/>
    <w:rsid w:val="0005742E"/>
    <w:rsid w:val="00065CE0"/>
    <w:rsid w:val="00071F07"/>
    <w:rsid w:val="000D6508"/>
    <w:rsid w:val="00182C45"/>
    <w:rsid w:val="00201E8D"/>
    <w:rsid w:val="00235759"/>
    <w:rsid w:val="002611D2"/>
    <w:rsid w:val="00362F9D"/>
    <w:rsid w:val="003D5F4A"/>
    <w:rsid w:val="004C5E6C"/>
    <w:rsid w:val="00530AA9"/>
    <w:rsid w:val="0054661A"/>
    <w:rsid w:val="005E5CB6"/>
    <w:rsid w:val="005F0410"/>
    <w:rsid w:val="00607835"/>
    <w:rsid w:val="00650D4C"/>
    <w:rsid w:val="0067288A"/>
    <w:rsid w:val="00693F6F"/>
    <w:rsid w:val="00731444"/>
    <w:rsid w:val="007C4748"/>
    <w:rsid w:val="007D11F5"/>
    <w:rsid w:val="00852D71"/>
    <w:rsid w:val="00853B5D"/>
    <w:rsid w:val="00856E63"/>
    <w:rsid w:val="008641E5"/>
    <w:rsid w:val="008A385A"/>
    <w:rsid w:val="008A6469"/>
    <w:rsid w:val="008B0C0B"/>
    <w:rsid w:val="00914197"/>
    <w:rsid w:val="00AF02C6"/>
    <w:rsid w:val="00B40354"/>
    <w:rsid w:val="00B65AF0"/>
    <w:rsid w:val="00C536E2"/>
    <w:rsid w:val="00CC035B"/>
    <w:rsid w:val="00D059CB"/>
    <w:rsid w:val="00D145BB"/>
    <w:rsid w:val="00D93D3A"/>
    <w:rsid w:val="00DF269A"/>
    <w:rsid w:val="00E37551"/>
    <w:rsid w:val="00E47769"/>
    <w:rsid w:val="00E52766"/>
    <w:rsid w:val="00E66BE4"/>
    <w:rsid w:val="00EC1C2C"/>
    <w:rsid w:val="00F22F6A"/>
    <w:rsid w:val="00F67E6A"/>
    <w:rsid w:val="00F74E87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C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74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lossary-term">
    <w:name w:val="glossary-term"/>
    <w:basedOn w:val="a0"/>
    <w:rsid w:val="0005742E"/>
  </w:style>
  <w:style w:type="character" w:customStyle="1" w:styleId="glossary-icon">
    <w:name w:val="glossary-icon"/>
    <w:basedOn w:val="a0"/>
    <w:rsid w:val="0005742E"/>
  </w:style>
  <w:style w:type="character" w:customStyle="1" w:styleId="20">
    <w:name w:val="Заголовок 2 Знак"/>
    <w:basedOn w:val="a0"/>
    <w:link w:val="2"/>
    <w:uiPriority w:val="9"/>
    <w:semiHidden/>
    <w:rsid w:val="002357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pp-characteristics-tab-product-name">
    <w:name w:val="pp-characteristics-tab-product-name"/>
    <w:basedOn w:val="a0"/>
    <w:rsid w:val="00235759"/>
  </w:style>
  <w:style w:type="paragraph" w:styleId="a8">
    <w:name w:val="Balloon Text"/>
    <w:basedOn w:val="a"/>
    <w:link w:val="a9"/>
    <w:uiPriority w:val="99"/>
    <w:semiHidden/>
    <w:unhideWhenUsed/>
    <w:rsid w:val="00E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66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201E8D"/>
    <w:pPr>
      <w:ind w:left="720"/>
      <w:contextualSpacing/>
    </w:pPr>
  </w:style>
  <w:style w:type="character" w:styleId="ab">
    <w:name w:val="Strong"/>
    <w:basedOn w:val="a0"/>
    <w:uiPriority w:val="22"/>
    <w:qFormat/>
    <w:rsid w:val="00853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C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74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lossary-term">
    <w:name w:val="glossary-term"/>
    <w:basedOn w:val="a0"/>
    <w:rsid w:val="0005742E"/>
  </w:style>
  <w:style w:type="character" w:customStyle="1" w:styleId="glossary-icon">
    <w:name w:val="glossary-icon"/>
    <w:basedOn w:val="a0"/>
    <w:rsid w:val="0005742E"/>
  </w:style>
  <w:style w:type="character" w:customStyle="1" w:styleId="20">
    <w:name w:val="Заголовок 2 Знак"/>
    <w:basedOn w:val="a0"/>
    <w:link w:val="2"/>
    <w:uiPriority w:val="9"/>
    <w:semiHidden/>
    <w:rsid w:val="002357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pp-characteristics-tab-product-name">
    <w:name w:val="pp-characteristics-tab-product-name"/>
    <w:basedOn w:val="a0"/>
    <w:rsid w:val="00235759"/>
  </w:style>
  <w:style w:type="paragraph" w:styleId="a8">
    <w:name w:val="Balloon Text"/>
    <w:basedOn w:val="a"/>
    <w:link w:val="a9"/>
    <w:uiPriority w:val="99"/>
    <w:semiHidden/>
    <w:unhideWhenUsed/>
    <w:rsid w:val="00E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66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201E8D"/>
    <w:pPr>
      <w:ind w:left="720"/>
      <w:contextualSpacing/>
    </w:pPr>
  </w:style>
  <w:style w:type="character" w:styleId="ab">
    <w:name w:val="Strong"/>
    <w:basedOn w:val="a0"/>
    <w:uiPriority w:val="22"/>
    <w:qFormat/>
    <w:rsid w:val="00853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cc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der@ccc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Dolinsky</cp:lastModifiedBy>
  <cp:revision>5</cp:revision>
  <cp:lastPrinted>2017-10-18T12:58:00Z</cp:lastPrinted>
  <dcterms:created xsi:type="dcterms:W3CDTF">2018-02-21T14:25:00Z</dcterms:created>
  <dcterms:modified xsi:type="dcterms:W3CDTF">2018-02-21T15:17:00Z</dcterms:modified>
</cp:coreProperties>
</file>